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38"/>
          <w:bCs/>
          <w:sz w:val="28"/>
          <w:szCs w:val="28"/>
        </w:rPr>
      </w:pPr>
      <w:r>
        <w:rPr>
          <w:rStyle w:val="738"/>
          <w:b/>
          <w:bCs/>
          <w:sz w:val="28"/>
          <w:szCs w:val="28"/>
        </w:rPr>
        <w:t xml:space="preserve">20</w:t>
      </w:r>
      <w:r>
        <w:rPr>
          <w:rStyle w:val="738"/>
          <w:b/>
          <w:bCs/>
          <w:sz w:val="28"/>
          <w:szCs w:val="28"/>
        </w:rPr>
        <w:t xml:space="preserve">.</w:t>
      </w:r>
      <w:r>
        <w:rPr>
          <w:rStyle w:val="738"/>
          <w:b/>
          <w:bCs/>
          <w:sz w:val="28"/>
          <w:szCs w:val="28"/>
        </w:rPr>
        <w:t xml:space="preserve">0</w:t>
      </w:r>
      <w:r>
        <w:rPr>
          <w:rStyle w:val="738"/>
          <w:b/>
          <w:bCs/>
          <w:sz w:val="28"/>
          <w:szCs w:val="28"/>
        </w:rPr>
        <w:t xml:space="preserve">2</w:t>
      </w:r>
      <w:r>
        <w:rPr>
          <w:rStyle w:val="738"/>
          <w:b/>
          <w:bCs/>
          <w:sz w:val="28"/>
          <w:szCs w:val="28"/>
        </w:rPr>
        <w:t xml:space="preserve">.2</w:t>
      </w:r>
      <w:r>
        <w:rPr>
          <w:rStyle w:val="738"/>
          <w:b/>
          <w:bCs/>
          <w:sz w:val="28"/>
          <w:szCs w:val="28"/>
        </w:rPr>
        <w:t xml:space="preserve">02</w:t>
      </w:r>
      <w:r>
        <w:rPr>
          <w:rStyle w:val="738"/>
          <w:b/>
          <w:bCs/>
          <w:sz w:val="28"/>
          <w:szCs w:val="28"/>
        </w:rPr>
        <w:t xml:space="preserve">5</w:t>
      </w:r>
      <w:r>
        <w:rPr>
          <w:rStyle w:val="738"/>
          <w:bCs/>
          <w:sz w:val="28"/>
          <w:szCs w:val="28"/>
        </w:rPr>
      </w:r>
      <w:r>
        <w:rPr>
          <w:rStyle w:val="738"/>
          <w:bCs/>
          <w:sz w:val="28"/>
          <w:szCs w:val="28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</w:rPr>
      </w:pPr>
      <w:r>
        <w:rPr>
          <w:rStyle w:val="738"/>
          <w:bCs/>
          <w:sz w:val="28"/>
          <w:szCs w:val="28"/>
        </w:rPr>
      </w:r>
      <w:r>
        <w:rPr>
          <w:rStyle w:val="738"/>
          <w:bCs/>
          <w:sz w:val="28"/>
          <w:szCs w:val="28"/>
        </w:rPr>
      </w:r>
    </w:p>
    <w:p>
      <w:pPr>
        <w:pStyle w:val="673"/>
        <w:jc w:val="center"/>
        <w:tabs>
          <w:tab w:val="left" w:pos="4830" w:leader="none"/>
        </w:tabs>
        <w:rPr>
          <w:rStyle w:val="738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738"/>
          <w:b/>
          <w:bCs/>
          <w:color w:val="0070c0"/>
          <w:sz w:val="28"/>
          <w:szCs w:val="28"/>
          <w:shd w:val="clear" w:color="auto" w:fill="ffffff"/>
        </w:rPr>
        <w:t xml:space="preserve">В </w:t>
      </w:r>
      <w:r>
        <w:rPr>
          <w:rStyle w:val="738"/>
          <w:b/>
          <w:bCs/>
          <w:color w:val="0070c0"/>
          <w:sz w:val="28"/>
          <w:szCs w:val="28"/>
          <w:shd w:val="clear" w:color="auto" w:fill="ffffff"/>
        </w:rPr>
        <w:t xml:space="preserve">2024 год</w:t>
      </w:r>
      <w:r>
        <w:rPr>
          <w:rStyle w:val="738"/>
          <w:b/>
          <w:bCs/>
          <w:color w:val="0070c0"/>
          <w:sz w:val="28"/>
          <w:szCs w:val="28"/>
          <w:shd w:val="clear" w:color="auto" w:fill="ffffff"/>
        </w:rPr>
        <w:t xml:space="preserve">у</w:t>
      </w:r>
      <w:r>
        <w:rPr>
          <w:rStyle w:val="738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>
        <w:rPr>
          <w:rStyle w:val="738"/>
          <w:b/>
          <w:bCs/>
          <w:color w:val="0070c0"/>
          <w:sz w:val="28"/>
          <w:szCs w:val="28"/>
          <w:shd w:val="clear" w:color="auto" w:fill="ffffff"/>
        </w:rPr>
        <w:t xml:space="preserve">южноуральцы </w:t>
      </w:r>
      <w:r>
        <w:rPr>
          <w:rStyle w:val="738"/>
          <w:b/>
          <w:bCs/>
          <w:color w:val="0070c0"/>
          <w:sz w:val="28"/>
          <w:szCs w:val="28"/>
          <w:shd w:val="clear" w:color="auto" w:fill="ffffff"/>
        </w:rPr>
        <w:t xml:space="preserve">зарегистрирова</w:t>
      </w:r>
      <w:r>
        <w:rPr>
          <w:rStyle w:val="738"/>
          <w:b/>
          <w:bCs/>
          <w:color w:val="0070c0"/>
          <w:sz w:val="28"/>
          <w:szCs w:val="28"/>
          <w:shd w:val="clear" w:color="auto" w:fill="ffffff"/>
        </w:rPr>
        <w:t xml:space="preserve">ли права на 1,5 тыс. машино-мест</w:t>
      </w:r>
      <w:r>
        <w:rPr>
          <w:rStyle w:val="738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>
        <w:rPr>
          <w:rStyle w:val="738"/>
          <w:b/>
          <w:bCs/>
          <w:color w:val="0070c0"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right"/>
        <w:tabs>
          <w:tab w:val="left" w:pos="4830" w:leader="none"/>
        </w:tabs>
        <w:rPr>
          <w:rStyle w:val="738"/>
          <w:b/>
          <w:bCs/>
          <w:sz w:val="28"/>
          <w:szCs w:val="28"/>
          <w:shd w:val="clear" w:color="auto" w:fill="ffffff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 </w:t>
      </w:r>
      <w:r>
        <w:rPr>
          <w:rStyle w:val="738"/>
          <w:b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Управление Росреестра по Челябинской обла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сти продолжает делиться итогами 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деятельности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 за прошлый год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. Сегодня в рубрик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е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 «Цифра дня» 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приведем показатели по 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регистрации 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прав на машино-места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.</w:t>
      </w:r>
      <w:r>
        <w:rPr>
          <w:rStyle w:val="738"/>
          <w:bCs/>
          <w:sz w:val="28"/>
          <w:szCs w:val="28"/>
          <w:shd w:val="clear" w:color="auto" w:fill="ffffff"/>
        </w:rPr>
        <w:t xml:space="preserve"> </w:t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  <w:t xml:space="preserve">На начало 2025</w:t>
      </w:r>
      <w:r>
        <w:rPr>
          <w:rStyle w:val="738"/>
          <w:bCs/>
          <w:sz w:val="28"/>
          <w:szCs w:val="28"/>
          <w:shd w:val="clear" w:color="auto" w:fill="ffffff"/>
        </w:rPr>
        <w:t xml:space="preserve"> года реестр недвижимости </w:t>
      </w:r>
      <w:r>
        <w:rPr>
          <w:rStyle w:val="738"/>
          <w:bCs/>
          <w:sz w:val="28"/>
          <w:szCs w:val="28"/>
          <w:shd w:val="clear" w:color="auto" w:fill="ffffff"/>
        </w:rPr>
        <w:t xml:space="preserve">содержит актуальные</w:t>
      </w:r>
      <w:r>
        <w:rPr>
          <w:rStyle w:val="738"/>
          <w:bCs/>
          <w:sz w:val="28"/>
          <w:szCs w:val="28"/>
          <w:shd w:val="clear" w:color="auto" w:fill="ffffff"/>
        </w:rPr>
        <w:t xml:space="preserve"> сведения о 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67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7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3</w:t>
      </w:r>
      <w:r>
        <w:rPr>
          <w:rStyle w:val="738"/>
          <w:bCs/>
          <w:sz w:val="28"/>
          <w:szCs w:val="28"/>
          <w:shd w:val="clear" w:color="auto" w:fill="ffffff"/>
        </w:rPr>
        <w:t xml:space="preserve"> машино-мест</w:t>
      </w:r>
      <w:r>
        <w:rPr>
          <w:rStyle w:val="738"/>
          <w:bCs/>
          <w:sz w:val="28"/>
          <w:szCs w:val="28"/>
          <w:shd w:val="clear" w:color="auto" w:fill="ffffff"/>
        </w:rPr>
        <w:t xml:space="preserve">ах. </w:t>
      </w:r>
      <w:r>
        <w:rPr>
          <w:rStyle w:val="738"/>
          <w:bCs/>
          <w:sz w:val="28"/>
          <w:szCs w:val="28"/>
          <w:shd w:val="clear" w:color="auto" w:fill="ffffff"/>
        </w:rPr>
        <w:t xml:space="preserve">В </w:t>
      </w:r>
      <w:r>
        <w:rPr>
          <w:rStyle w:val="738"/>
          <w:bCs/>
          <w:sz w:val="28"/>
          <w:szCs w:val="28"/>
          <w:shd w:val="clear" w:color="auto" w:fill="ffffff"/>
        </w:rPr>
        <w:t xml:space="preserve">региональном</w:t>
      </w:r>
      <w:r>
        <w:rPr>
          <w:rStyle w:val="738"/>
          <w:bCs/>
          <w:sz w:val="28"/>
          <w:szCs w:val="28"/>
          <w:shd w:val="clear" w:color="auto" w:fill="ffffff"/>
        </w:rPr>
        <w:t xml:space="preserve"> Росреестр</w:t>
      </w:r>
      <w:r>
        <w:rPr>
          <w:rStyle w:val="738"/>
          <w:bCs/>
          <w:sz w:val="28"/>
          <w:szCs w:val="28"/>
          <w:shd w:val="clear" w:color="auto" w:fill="ffffff"/>
        </w:rPr>
        <w:t xml:space="preserve">е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проанализировали статистику </w:t>
      </w:r>
      <w:r>
        <w:rPr>
          <w:rStyle w:val="738"/>
          <w:bCs/>
          <w:sz w:val="28"/>
          <w:szCs w:val="28"/>
          <w:shd w:val="clear" w:color="auto" w:fill="ffffff"/>
        </w:rPr>
        <w:t xml:space="preserve">учетно-регистрационных действий в отношении таких объектов недвижимости.</w:t>
      </w:r>
      <w:r>
        <w:rPr>
          <w:rStyle w:val="738"/>
          <w:bCs/>
          <w:sz w:val="28"/>
          <w:szCs w:val="28"/>
          <w:shd w:val="clear" w:color="auto" w:fill="ffffff"/>
        </w:rPr>
        <w:t xml:space="preserve"> Можно сказать, что в последние годы на Южном Урале наблюдается стабильный спрос на машино-места с небольшим увеличением</w:t>
      </w:r>
      <w:r>
        <w:rPr>
          <w:rStyle w:val="738"/>
          <w:bCs/>
          <w:sz w:val="28"/>
          <w:szCs w:val="28"/>
          <w:shd w:val="clear" w:color="auto" w:fill="ffffff"/>
        </w:rPr>
        <w:t xml:space="preserve"> показателей</w:t>
      </w:r>
      <w:r>
        <w:rPr>
          <w:rStyle w:val="738"/>
          <w:bCs/>
          <w:sz w:val="28"/>
          <w:szCs w:val="28"/>
          <w:shd w:val="clear" w:color="auto" w:fill="ffffff"/>
        </w:rPr>
        <w:t xml:space="preserve"> регистрации</w:t>
      </w:r>
      <w:r>
        <w:rPr>
          <w:rStyle w:val="738"/>
          <w:bCs/>
          <w:sz w:val="28"/>
          <w:szCs w:val="28"/>
          <w:shd w:val="clear" w:color="auto" w:fill="ffffff"/>
        </w:rPr>
        <w:t xml:space="preserve">. Приведем цифры за последние три года. </w:t>
      </w:r>
      <w:r>
        <w:rPr>
          <w:rStyle w:val="738"/>
          <w:bCs/>
          <w:sz w:val="28"/>
          <w:szCs w:val="28"/>
          <w:shd w:val="clear" w:color="auto" w:fill="ffffff"/>
        </w:rPr>
        <w:t xml:space="preserve">В 2022 году были зарегистрирован</w:t>
      </w:r>
      <w:r>
        <w:rPr>
          <w:rStyle w:val="738"/>
          <w:bCs/>
          <w:sz w:val="28"/>
          <w:szCs w:val="28"/>
          <w:shd w:val="clear" w:color="auto" w:fill="ffffff"/>
        </w:rPr>
        <w:t xml:space="preserve">ы права на</w:t>
      </w:r>
      <w:r>
        <w:rPr>
          <w:rStyle w:val="738"/>
          <w:bCs/>
          <w:sz w:val="28"/>
          <w:szCs w:val="28"/>
          <w:shd w:val="clear" w:color="auto" w:fill="ffffff"/>
        </w:rPr>
        <w:t xml:space="preserve"> 1</w:t>
      </w:r>
      <w:r>
        <w:rPr>
          <w:rStyle w:val="738"/>
          <w:bCs/>
          <w:sz w:val="28"/>
          <w:szCs w:val="28"/>
          <w:shd w:val="clear" w:color="auto" w:fill="ffffff"/>
        </w:rPr>
        <w:t xml:space="preserve"> </w:t>
      </w:r>
      <w:r>
        <w:rPr>
          <w:rStyle w:val="738"/>
          <w:bCs/>
          <w:sz w:val="28"/>
          <w:szCs w:val="28"/>
          <w:shd w:val="clear" w:color="auto" w:fill="ffffff"/>
        </w:rPr>
        <w:t xml:space="preserve">256</w:t>
      </w:r>
      <w:r>
        <w:rPr>
          <w:rStyle w:val="738"/>
          <w:bCs/>
          <w:sz w:val="28"/>
          <w:szCs w:val="28"/>
          <w:shd w:val="clear" w:color="auto" w:fill="ffffff"/>
        </w:rPr>
        <w:t xml:space="preserve"> машино-мест, в</w:t>
      </w:r>
      <w:r>
        <w:rPr>
          <w:rStyle w:val="738"/>
          <w:bCs/>
          <w:sz w:val="28"/>
          <w:szCs w:val="28"/>
          <w:shd w:val="clear" w:color="auto" w:fill="ffffff"/>
        </w:rPr>
        <w:t xml:space="preserve"> 2023 году </w:t>
      </w:r>
      <w:r>
        <w:rPr>
          <w:rStyle w:val="738"/>
          <w:bCs/>
          <w:sz w:val="28"/>
          <w:szCs w:val="28"/>
          <w:shd w:val="clear" w:color="auto" w:fill="ffffff"/>
        </w:rPr>
        <w:t xml:space="preserve">–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1 424,</w:t>
      </w:r>
      <w:r>
        <w:rPr>
          <w:rStyle w:val="738"/>
          <w:bCs/>
          <w:sz w:val="28"/>
          <w:szCs w:val="28"/>
          <w:shd w:val="clear" w:color="auto" w:fill="ffffff"/>
        </w:rPr>
        <w:t xml:space="preserve"> а в прошлом году – 1493.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  <w:t xml:space="preserve">Напомним, </w:t>
      </w:r>
      <w:r>
        <w:rPr>
          <w:rStyle w:val="738"/>
          <w:bCs/>
          <w:sz w:val="28"/>
          <w:szCs w:val="28"/>
          <w:shd w:val="clear" w:color="auto" w:fill="ffffff"/>
        </w:rPr>
        <w:t xml:space="preserve">м</w:t>
      </w:r>
      <w:r>
        <w:rPr>
          <w:rStyle w:val="738"/>
          <w:bCs/>
          <w:sz w:val="28"/>
          <w:szCs w:val="28"/>
          <w:shd w:val="clear" w:color="auto" w:fill="ffffff"/>
        </w:rPr>
        <w:t xml:space="preserve">ашино-места </w:t>
      </w:r>
      <w:r>
        <w:rPr>
          <w:rStyle w:val="738"/>
          <w:bCs/>
          <w:sz w:val="28"/>
          <w:szCs w:val="28"/>
          <w:shd w:val="clear" w:color="auto" w:fill="ffffff"/>
        </w:rPr>
        <w:t xml:space="preserve">имеют</w:t>
      </w:r>
      <w:r>
        <w:rPr>
          <w:rStyle w:val="738"/>
          <w:bCs/>
          <w:sz w:val="28"/>
          <w:szCs w:val="28"/>
          <w:shd w:val="clear" w:color="auto" w:fill="ffffff"/>
        </w:rPr>
        <w:t xml:space="preserve"> статус отдельных объектов недвижимости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с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2017 года. Для</w:t>
      </w:r>
      <w:r>
        <w:rPr>
          <w:rStyle w:val="738"/>
          <w:bCs/>
          <w:sz w:val="28"/>
          <w:szCs w:val="28"/>
          <w:shd w:val="clear" w:color="auto" w:fill="ffffff"/>
        </w:rPr>
        <w:t xml:space="preserve"> поста</w:t>
      </w:r>
      <w:r>
        <w:rPr>
          <w:rStyle w:val="738"/>
          <w:bCs/>
          <w:sz w:val="28"/>
          <w:szCs w:val="28"/>
          <w:shd w:val="clear" w:color="auto" w:fill="ffffff"/>
        </w:rPr>
        <w:t xml:space="preserve">но</w:t>
      </w:r>
      <w:r>
        <w:rPr>
          <w:rStyle w:val="738"/>
          <w:bCs/>
          <w:sz w:val="28"/>
          <w:szCs w:val="28"/>
          <w:shd w:val="clear" w:color="auto" w:fill="ffffff"/>
        </w:rPr>
        <w:t xml:space="preserve">в</w:t>
      </w:r>
      <w:r>
        <w:rPr>
          <w:rStyle w:val="738"/>
          <w:bCs/>
          <w:sz w:val="28"/>
          <w:szCs w:val="28"/>
          <w:shd w:val="clear" w:color="auto" w:fill="ffffff"/>
        </w:rPr>
        <w:t xml:space="preserve">ки машино-мест</w:t>
      </w:r>
      <w:r>
        <w:rPr>
          <w:rStyle w:val="738"/>
          <w:bCs/>
          <w:sz w:val="28"/>
          <w:szCs w:val="28"/>
          <w:shd w:val="clear" w:color="auto" w:fill="ffffff"/>
        </w:rPr>
        <w:t xml:space="preserve"> на кадастровый учет и регистр</w:t>
      </w:r>
      <w:r>
        <w:rPr>
          <w:rStyle w:val="738"/>
          <w:bCs/>
          <w:sz w:val="28"/>
          <w:szCs w:val="28"/>
          <w:shd w:val="clear" w:color="auto" w:fill="ffffff"/>
        </w:rPr>
        <w:t xml:space="preserve">ации прав</w:t>
      </w:r>
      <w:r>
        <w:rPr>
          <w:rStyle w:val="738"/>
          <w:bCs/>
          <w:sz w:val="28"/>
          <w:szCs w:val="28"/>
          <w:shd w:val="clear" w:color="auto" w:fill="ffffff"/>
        </w:rPr>
        <w:t xml:space="preserve"> на </w:t>
      </w:r>
      <w:r>
        <w:rPr>
          <w:rStyle w:val="738"/>
          <w:bCs/>
          <w:sz w:val="28"/>
          <w:szCs w:val="28"/>
          <w:shd w:val="clear" w:color="auto" w:fill="ffffff"/>
        </w:rPr>
        <w:t xml:space="preserve">такие</w:t>
      </w:r>
      <w:r>
        <w:rPr>
          <w:rStyle w:val="738"/>
          <w:bCs/>
          <w:sz w:val="28"/>
          <w:szCs w:val="28"/>
          <w:shd w:val="clear" w:color="auto" w:fill="ffffff"/>
        </w:rPr>
        <w:t xml:space="preserve"> объекты недвижимости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г</w:t>
      </w:r>
      <w:r>
        <w:rPr>
          <w:rStyle w:val="738"/>
          <w:bCs/>
          <w:sz w:val="28"/>
          <w:szCs w:val="28"/>
          <w:shd w:val="clear" w:color="auto" w:fill="ffffff"/>
        </w:rPr>
        <w:t xml:space="preserve">раждане </w:t>
      </w:r>
      <w:r>
        <w:rPr>
          <w:rStyle w:val="738"/>
          <w:bCs/>
          <w:sz w:val="28"/>
          <w:szCs w:val="28"/>
          <w:shd w:val="clear" w:color="auto" w:fill="ffffff"/>
        </w:rPr>
        <w:t xml:space="preserve">обращаются в Росреестр</w:t>
      </w:r>
      <w:r>
        <w:rPr>
          <w:rStyle w:val="738"/>
          <w:bCs/>
          <w:sz w:val="28"/>
          <w:szCs w:val="28"/>
          <w:shd w:val="clear" w:color="auto" w:fill="ffffff"/>
        </w:rPr>
        <w:t xml:space="preserve">. </w:t>
      </w:r>
      <w:r>
        <w:rPr>
          <w:rStyle w:val="738"/>
          <w:bCs/>
          <w:sz w:val="28"/>
          <w:szCs w:val="28"/>
          <w:shd w:val="clear" w:color="auto" w:fill="ffffff"/>
        </w:rPr>
        <w:t xml:space="preserve">У</w:t>
      </w:r>
      <w:r>
        <w:rPr>
          <w:rStyle w:val="738"/>
          <w:bCs/>
          <w:sz w:val="28"/>
          <w:szCs w:val="28"/>
          <w:shd w:val="clear" w:color="auto" w:fill="ffffff"/>
        </w:rPr>
        <w:t xml:space="preserve">чет машино-мест</w:t>
      </w:r>
      <w:r>
        <w:rPr>
          <w:rStyle w:val="738"/>
          <w:bCs/>
          <w:sz w:val="28"/>
          <w:szCs w:val="28"/>
          <w:shd w:val="clear" w:color="auto" w:fill="ffffff"/>
        </w:rPr>
        <w:t xml:space="preserve"> проводится одновременно с государственным кадастровым учетом </w:t>
      </w:r>
      <w:r>
        <w:rPr>
          <w:rStyle w:val="738"/>
          <w:bCs/>
          <w:sz w:val="28"/>
          <w:szCs w:val="28"/>
          <w:shd w:val="clear" w:color="auto" w:fill="ffffff"/>
        </w:rPr>
        <w:t xml:space="preserve">всего </w:t>
      </w:r>
      <w:r>
        <w:rPr>
          <w:rStyle w:val="738"/>
          <w:bCs/>
          <w:sz w:val="28"/>
          <w:szCs w:val="28"/>
          <w:shd w:val="clear" w:color="auto" w:fill="ffffff"/>
        </w:rPr>
        <w:t xml:space="preserve">здания, частью которого он</w:t>
      </w:r>
      <w:r>
        <w:rPr>
          <w:rStyle w:val="738"/>
          <w:bCs/>
          <w:sz w:val="28"/>
          <w:szCs w:val="28"/>
          <w:shd w:val="clear" w:color="auto" w:fill="ffffff"/>
        </w:rPr>
        <w:t xml:space="preserve">и</w:t>
      </w:r>
      <w:r>
        <w:rPr>
          <w:rStyle w:val="738"/>
          <w:bCs/>
          <w:sz w:val="28"/>
          <w:szCs w:val="28"/>
          <w:shd w:val="clear" w:color="auto" w:fill="ffffff"/>
        </w:rPr>
        <w:t xml:space="preserve"> явля</w:t>
      </w:r>
      <w:r>
        <w:rPr>
          <w:rStyle w:val="738"/>
          <w:bCs/>
          <w:sz w:val="28"/>
          <w:szCs w:val="28"/>
          <w:shd w:val="clear" w:color="auto" w:fill="ffffff"/>
        </w:rPr>
        <w:t xml:space="preserve">ю</w:t>
      </w:r>
      <w:r>
        <w:rPr>
          <w:rStyle w:val="738"/>
          <w:bCs/>
          <w:sz w:val="28"/>
          <w:szCs w:val="28"/>
          <w:shd w:val="clear" w:color="auto" w:fill="ffffff"/>
        </w:rPr>
        <w:t xml:space="preserve">тся.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Только</w:t>
      </w:r>
      <w:r>
        <w:rPr>
          <w:rStyle w:val="738"/>
          <w:rFonts w:ascii="Calibri" w:hAnsi="Calibri" w:cs="Calibri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после оформления </w:t>
      </w:r>
      <w:r>
        <w:rPr>
          <w:rStyle w:val="738"/>
          <w:bCs/>
          <w:sz w:val="28"/>
          <w:szCs w:val="28"/>
          <w:shd w:val="clear" w:color="auto" w:fill="ffffff"/>
        </w:rPr>
        <w:t xml:space="preserve">машино-мест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в уст</w:t>
      </w:r>
      <w:r>
        <w:rPr>
          <w:rStyle w:val="738"/>
          <w:bCs/>
          <w:sz w:val="28"/>
          <w:szCs w:val="28"/>
          <w:shd w:val="clear" w:color="auto" w:fill="ffffff"/>
        </w:rPr>
        <w:t xml:space="preserve">ановленном порядке южноуральцы </w:t>
      </w:r>
      <w:r>
        <w:rPr>
          <w:rStyle w:val="738"/>
          <w:bCs/>
          <w:sz w:val="28"/>
          <w:szCs w:val="28"/>
          <w:shd w:val="clear" w:color="auto" w:fill="ffffff"/>
        </w:rPr>
        <w:t xml:space="preserve">могут распоряжаться объектами по своему усмотрению, совершая сделки</w:t>
      </w:r>
      <w:r>
        <w:rPr>
          <w:rStyle w:val="738"/>
          <w:bCs/>
          <w:sz w:val="28"/>
          <w:szCs w:val="28"/>
          <w:shd w:val="clear" w:color="auto" w:fill="ffffff"/>
        </w:rPr>
        <w:t xml:space="preserve">. Машино-место также может быть предметом договора аренды, ипотеки и наследования наравне с </w:t>
      </w:r>
      <w:r>
        <w:rPr>
          <w:rStyle w:val="738"/>
          <w:bCs/>
          <w:sz w:val="28"/>
          <w:szCs w:val="28"/>
          <w:shd w:val="clear" w:color="auto" w:fill="ffffff"/>
        </w:rPr>
        <w:t xml:space="preserve">другой</w:t>
      </w:r>
      <w:r>
        <w:rPr>
          <w:rStyle w:val="738"/>
          <w:bCs/>
          <w:sz w:val="28"/>
          <w:szCs w:val="28"/>
          <w:shd w:val="clear" w:color="auto" w:fill="ffffff"/>
        </w:rPr>
        <w:t xml:space="preserve"> недвижимост</w:t>
      </w:r>
      <w:r>
        <w:rPr>
          <w:rStyle w:val="738"/>
          <w:bCs/>
          <w:sz w:val="28"/>
          <w:szCs w:val="28"/>
          <w:shd w:val="clear" w:color="auto" w:fill="ffffff"/>
        </w:rPr>
        <w:t xml:space="preserve">ью</w:t>
      </w:r>
      <w:r>
        <w:rPr>
          <w:rStyle w:val="738"/>
          <w:bCs/>
          <w:sz w:val="28"/>
          <w:szCs w:val="28"/>
          <w:shd w:val="clear" w:color="auto" w:fill="ffffff"/>
        </w:rPr>
        <w:t xml:space="preserve"> – </w:t>
      </w:r>
      <w:r>
        <w:rPr>
          <w:rStyle w:val="738"/>
          <w:bCs/>
          <w:sz w:val="28"/>
          <w:szCs w:val="28"/>
          <w:shd w:val="clear" w:color="auto" w:fill="ffffff"/>
        </w:rPr>
        <w:t xml:space="preserve">домами</w:t>
      </w:r>
      <w:r>
        <w:rPr>
          <w:rStyle w:val="738"/>
          <w:bCs/>
          <w:sz w:val="28"/>
          <w:szCs w:val="28"/>
          <w:shd w:val="clear" w:color="auto" w:fill="ffffff"/>
        </w:rPr>
        <w:t xml:space="preserve">,</w:t>
      </w:r>
      <w:r>
        <w:rPr>
          <w:rStyle w:val="738"/>
          <w:bCs/>
          <w:sz w:val="28"/>
          <w:szCs w:val="28"/>
          <w:shd w:val="clear" w:color="auto" w:fill="ffffff"/>
        </w:rPr>
        <w:t xml:space="preserve"> квартирами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и </w:t>
      </w:r>
      <w:r>
        <w:rPr>
          <w:rStyle w:val="738"/>
          <w:bCs/>
          <w:sz w:val="28"/>
          <w:szCs w:val="28"/>
          <w:shd w:val="clear" w:color="auto" w:fill="ffffff"/>
        </w:rPr>
        <w:t xml:space="preserve">земельными участками.</w:t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rFonts w:ascii="Calibri" w:hAnsi="Calibri" w:cs="Segoe UI Symbol"/>
          <w:bCs/>
          <w:sz w:val="28"/>
          <w:szCs w:val="28"/>
          <w:shd w:val="clear" w:color="auto" w:fill="ffffff"/>
        </w:rPr>
      </w:pPr>
      <w:r>
        <w:rPr>
          <w:rStyle w:val="738"/>
          <w:rFonts w:ascii="Calibri" w:hAnsi="Calibri" w:cs="Segoe UI Symbol"/>
          <w:bCs/>
          <w:sz w:val="28"/>
          <w:szCs w:val="28"/>
          <w:shd w:val="clear" w:color="auto" w:fill="ffffff"/>
        </w:rPr>
      </w:r>
      <w:r>
        <w:rPr>
          <w:rStyle w:val="738"/>
          <w:rFonts w:ascii="Calibri" w:hAnsi="Calibri" w:cs="Segoe UI Symbol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i/>
          <w:iCs/>
          <w:color w:val="333333"/>
          <w:sz w:val="27"/>
          <w:szCs w:val="27"/>
        </w:rPr>
      </w:pPr>
      <w:r>
        <w:rPr>
          <w:i/>
          <w:iCs/>
          <w:color w:val="333333"/>
          <w:sz w:val="27"/>
          <w:szCs w:val="27"/>
        </w:rPr>
        <w:t xml:space="preserve">«</w:t>
      </w:r>
      <w:r>
        <w:rPr>
          <w:i/>
          <w:iCs/>
          <w:color w:val="333333"/>
          <w:sz w:val="27"/>
          <w:szCs w:val="27"/>
        </w:rPr>
        <w:t xml:space="preserve">Часто</w:t>
      </w:r>
      <w:r>
        <w:rPr>
          <w:i/>
          <w:iCs/>
          <w:color w:val="333333"/>
          <w:sz w:val="27"/>
          <w:szCs w:val="27"/>
        </w:rPr>
        <w:t xml:space="preserve"> граждане путают понятия «машино-место» и «парковка»,</w:t>
      </w:r>
      <w:r>
        <w:rPr>
          <w:color w:val="333333"/>
          <w:sz w:val="27"/>
          <w:szCs w:val="27"/>
        </w:rPr>
        <w:t xml:space="preserve"> – комментирует </w:t>
      </w:r>
      <w:r>
        <w:rPr>
          <w:b/>
          <w:bCs/>
          <w:color w:val="333333"/>
          <w:sz w:val="27"/>
          <w:szCs w:val="27"/>
        </w:rPr>
        <w:t xml:space="preserve">заместитель руководителя Управления Росреестра по Челябинской области Ольга Юрченко</w:t>
      </w:r>
      <w:r>
        <w:rPr>
          <w:color w:val="333333"/>
          <w:sz w:val="27"/>
          <w:szCs w:val="27"/>
        </w:rPr>
        <w:t xml:space="preserve">. – </w:t>
      </w:r>
      <w:r>
        <w:rPr>
          <w:i/>
          <w:iCs/>
          <w:color w:val="333333"/>
          <w:sz w:val="27"/>
          <w:szCs w:val="27"/>
        </w:rPr>
        <w:t xml:space="preserve">Парковочное место – это специальная площадка на обочине дороги или оборудованное место, являющееся в том числе частью уличных пространств, площадей, зданий или строений, предназначенное для временной стоянки автотранспорта. </w:t>
      </w:r>
      <w:r>
        <w:rPr>
          <w:i/>
          <w:iCs/>
          <w:color w:val="333333"/>
          <w:sz w:val="27"/>
          <w:szCs w:val="27"/>
        </w:rPr>
        <w:t xml:space="preserve">Машино-место </w:t>
      </w:r>
      <w:r>
        <w:rPr>
          <w:i/>
          <w:iCs/>
          <w:color w:val="333333"/>
          <w:sz w:val="27"/>
          <w:szCs w:val="27"/>
        </w:rPr>
        <w:t xml:space="preserve">может быть рас</w:t>
      </w:r>
      <w:r>
        <w:rPr>
          <w:i/>
          <w:iCs/>
          <w:color w:val="333333"/>
          <w:sz w:val="27"/>
          <w:szCs w:val="27"/>
        </w:rPr>
        <w:t xml:space="preserve">положено только в специализированных паркингах, многоуровневых парковках, в подземных паркингах многоквартирных домов и нежилых зданий. Оно является самостоятельным объектом недвижимости и, следовательно, подлежит постановке на кадастровый учет с последующ</w:t>
      </w:r>
      <w:r>
        <w:rPr>
          <w:i/>
          <w:iCs/>
          <w:color w:val="333333"/>
          <w:sz w:val="27"/>
          <w:szCs w:val="27"/>
        </w:rPr>
        <w:t xml:space="preserve">ей</w:t>
      </w:r>
      <w:r>
        <w:rPr>
          <w:i/>
          <w:iCs/>
          <w:color w:val="333333"/>
          <w:sz w:val="27"/>
          <w:szCs w:val="27"/>
        </w:rPr>
        <w:t xml:space="preserve"> регистраци</w:t>
      </w:r>
      <w:r>
        <w:rPr>
          <w:i/>
          <w:iCs/>
          <w:color w:val="333333"/>
          <w:sz w:val="27"/>
          <w:szCs w:val="27"/>
        </w:rPr>
        <w:t xml:space="preserve">ей прав</w:t>
      </w:r>
      <w:r>
        <w:rPr>
          <w:i/>
          <w:iCs/>
          <w:color w:val="333333"/>
          <w:sz w:val="27"/>
          <w:szCs w:val="27"/>
        </w:rPr>
        <w:t xml:space="preserve">».</w:t>
      </w:r>
      <w:r>
        <w:rPr>
          <w:i/>
          <w:iCs/>
          <w:color w:val="333333"/>
          <w:sz w:val="27"/>
          <w:szCs w:val="27"/>
        </w:rPr>
      </w:r>
      <w:r>
        <w:rPr>
          <w:i/>
          <w:iCs/>
          <w:color w:val="333333"/>
          <w:sz w:val="27"/>
          <w:szCs w:val="27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right"/>
        <w:tabs>
          <w:tab w:val="left" w:pos="4830" w:leader="none"/>
        </w:tabs>
        <w:rPr>
          <w:rStyle w:val="738"/>
          <w:b/>
          <w:bCs/>
          <w:sz w:val="28"/>
          <w:szCs w:val="28"/>
          <w:shd w:val="clear" w:color="auto" w:fill="ffffff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Начальник Еткульского отдела </w:t>
      </w:r>
      <w:r>
        <w:rPr>
          <w:rStyle w:val="738"/>
          <w:b/>
          <w:bCs/>
          <w:sz w:val="28"/>
          <w:szCs w:val="28"/>
          <w:shd w:val="clear" w:color="auto" w:fill="ffffff"/>
        </w:rPr>
      </w:r>
    </w:p>
    <w:p>
      <w:pPr>
        <w:ind w:firstLine="709"/>
        <w:jc w:val="right"/>
        <w:tabs>
          <w:tab w:val="left" w:pos="4830" w:leader="none"/>
        </w:tabs>
        <w:rPr>
          <w:rStyle w:val="738"/>
          <w:b/>
          <w:bCs/>
          <w:sz w:val="28"/>
          <w:szCs w:val="28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Управления Росреестра по Челябиснкой области </w:t>
      </w:r>
      <w:r>
        <w:rPr>
          <w:rStyle w:val="738"/>
          <w:b/>
          <w:bCs/>
          <w:sz w:val="28"/>
          <w:szCs w:val="28"/>
        </w:rPr>
      </w:r>
    </w:p>
    <w:p>
      <w:pPr>
        <w:ind w:firstLine="709"/>
        <w:jc w:val="right"/>
        <w:tabs>
          <w:tab w:val="left" w:pos="4830" w:leader="none"/>
        </w:tabs>
        <w:rPr>
          <w:rStyle w:val="738"/>
          <w:b/>
          <w:bCs/>
          <w:sz w:val="28"/>
          <w:szCs w:val="28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Райфигест М.Н.</w:t>
      </w: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09" w:right="567" w:bottom="567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Arial">
    <w:panose1 w:val="020B0604020202020204"/>
  </w:font>
  <w:font w:name="PT Astra Serif">
    <w:panose1 w:val="020A0603040505020204"/>
  </w:font>
  <w:font w:name="Arial Unicode MS">
    <w:panose1 w:val="020B0506020203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next w:val="673"/>
    <w:link w:val="673"/>
    <w:qFormat/>
    <w:rPr>
      <w:sz w:val="24"/>
      <w:szCs w:val="24"/>
      <w:lang w:val="ru-RU" w:eastAsia="ru-RU" w:bidi="ar-SA"/>
    </w:rPr>
  </w:style>
  <w:style w:type="character" w:styleId="674">
    <w:name w:val="Основной шрифт абзаца"/>
    <w:next w:val="674"/>
    <w:link w:val="673"/>
    <w:uiPriority w:val="1"/>
    <w:unhideWhenUsed/>
  </w:style>
  <w:style w:type="table" w:styleId="675">
    <w:name w:val="Обычная таблица"/>
    <w:next w:val="675"/>
    <w:link w:val="673"/>
    <w:uiPriority w:val="99"/>
    <w:semiHidden/>
    <w:unhideWhenUsed/>
    <w:tblPr/>
  </w:style>
  <w:style w:type="numbering" w:styleId="676">
    <w:name w:val="Нет списка"/>
    <w:next w:val="676"/>
    <w:link w:val="673"/>
    <w:uiPriority w:val="99"/>
    <w:semiHidden/>
    <w:unhideWhenUsed/>
  </w:style>
  <w:style w:type="character" w:styleId="677">
    <w:name w:val="WW8Num1z0"/>
    <w:next w:val="677"/>
    <w:link w:val="673"/>
    <w:rPr>
      <w:rFonts w:ascii="Symbol" w:hAnsi="Symbol" w:cs="Symbol"/>
    </w:rPr>
  </w:style>
  <w:style w:type="character" w:styleId="678">
    <w:name w:val="WW8Num1z1"/>
    <w:next w:val="678"/>
    <w:link w:val="673"/>
    <w:rPr>
      <w:rFonts w:ascii="Courier New" w:hAnsi="Courier New" w:cs="Courier New"/>
    </w:rPr>
  </w:style>
  <w:style w:type="character" w:styleId="679">
    <w:name w:val="WW8Num1z2"/>
    <w:next w:val="679"/>
    <w:link w:val="673"/>
    <w:rPr>
      <w:rFonts w:ascii="Wingdings" w:hAnsi="Wingdings" w:cs="Wingdings"/>
    </w:rPr>
  </w:style>
  <w:style w:type="character" w:styleId="680">
    <w:name w:val="WW8Num2z0"/>
    <w:next w:val="680"/>
    <w:link w:val="673"/>
    <w:rPr>
      <w:rFonts w:ascii="Symbol" w:hAnsi="Symbol" w:cs="Symbol"/>
    </w:rPr>
  </w:style>
  <w:style w:type="character" w:styleId="681">
    <w:name w:val="WW8Num2z1"/>
    <w:next w:val="681"/>
    <w:link w:val="673"/>
    <w:rPr>
      <w:rFonts w:ascii="Courier New" w:hAnsi="Courier New" w:cs="Courier New"/>
    </w:rPr>
  </w:style>
  <w:style w:type="character" w:styleId="682">
    <w:name w:val="WW8Num2z2"/>
    <w:next w:val="682"/>
    <w:link w:val="673"/>
    <w:rPr>
      <w:rFonts w:ascii="Wingdings" w:hAnsi="Wingdings" w:cs="Wingdings"/>
    </w:rPr>
  </w:style>
  <w:style w:type="character" w:styleId="683">
    <w:name w:val="Основной шрифт абзаца13"/>
    <w:next w:val="683"/>
    <w:link w:val="673"/>
  </w:style>
  <w:style w:type="character" w:styleId="684">
    <w:name w:val="WW8Num1z3"/>
    <w:next w:val="684"/>
    <w:link w:val="673"/>
    <w:rPr>
      <w:rFonts w:ascii="Symbol" w:hAnsi="Symbol" w:cs="Symbol"/>
    </w:rPr>
  </w:style>
  <w:style w:type="character" w:styleId="685">
    <w:name w:val="WW8Num1z4"/>
    <w:next w:val="685"/>
    <w:link w:val="673"/>
  </w:style>
  <w:style w:type="character" w:styleId="686">
    <w:name w:val="WW8Num1z5"/>
    <w:next w:val="686"/>
    <w:link w:val="673"/>
  </w:style>
  <w:style w:type="character" w:styleId="687">
    <w:name w:val="WW8Num1z6"/>
    <w:next w:val="687"/>
    <w:link w:val="673"/>
  </w:style>
  <w:style w:type="character" w:styleId="688">
    <w:name w:val="WW8Num1z7"/>
    <w:next w:val="688"/>
    <w:link w:val="673"/>
  </w:style>
  <w:style w:type="character" w:styleId="689">
    <w:name w:val="WW8Num1z8"/>
    <w:next w:val="689"/>
    <w:link w:val="673"/>
  </w:style>
  <w:style w:type="character" w:styleId="690">
    <w:name w:val="Основной шрифт абзаца12"/>
    <w:next w:val="690"/>
    <w:link w:val="673"/>
  </w:style>
  <w:style w:type="character" w:styleId="691">
    <w:name w:val="WW8Num3z0"/>
    <w:next w:val="691"/>
    <w:link w:val="673"/>
  </w:style>
  <w:style w:type="character" w:styleId="692">
    <w:name w:val="WW8Num3z1"/>
    <w:next w:val="692"/>
    <w:link w:val="673"/>
  </w:style>
  <w:style w:type="character" w:styleId="693">
    <w:name w:val="WW8Num3z2"/>
    <w:next w:val="693"/>
    <w:link w:val="673"/>
  </w:style>
  <w:style w:type="character" w:styleId="694">
    <w:name w:val="WW8Num3z3"/>
    <w:next w:val="694"/>
    <w:link w:val="673"/>
  </w:style>
  <w:style w:type="character" w:styleId="695">
    <w:name w:val="WW8Num3z4"/>
    <w:next w:val="695"/>
    <w:link w:val="673"/>
  </w:style>
  <w:style w:type="character" w:styleId="696">
    <w:name w:val="WW8Num3z5"/>
    <w:next w:val="696"/>
    <w:link w:val="673"/>
  </w:style>
  <w:style w:type="character" w:styleId="697">
    <w:name w:val="WW8Num3z6"/>
    <w:next w:val="697"/>
    <w:link w:val="673"/>
  </w:style>
  <w:style w:type="character" w:styleId="698">
    <w:name w:val="WW8Num3z7"/>
    <w:next w:val="698"/>
    <w:link w:val="673"/>
  </w:style>
  <w:style w:type="character" w:styleId="699">
    <w:name w:val="WW8Num3z8"/>
    <w:next w:val="699"/>
    <w:link w:val="673"/>
  </w:style>
  <w:style w:type="character" w:styleId="700">
    <w:name w:val="WW8Num4z0"/>
    <w:next w:val="700"/>
    <w:link w:val="673"/>
    <w:rPr>
      <w:rFonts w:ascii="Symbol" w:hAnsi="Symbol" w:cs="Symbol"/>
    </w:rPr>
  </w:style>
  <w:style w:type="character" w:styleId="701">
    <w:name w:val="WW8Num4z1"/>
    <w:next w:val="701"/>
    <w:link w:val="673"/>
    <w:rPr>
      <w:rFonts w:ascii="Courier New" w:hAnsi="Courier New" w:cs="Courier New"/>
    </w:rPr>
  </w:style>
  <w:style w:type="character" w:styleId="702">
    <w:name w:val="WW8Num4z2"/>
    <w:next w:val="702"/>
    <w:link w:val="673"/>
    <w:rPr>
      <w:rFonts w:ascii="Wingdings" w:hAnsi="Wingdings" w:cs="Wingdings"/>
    </w:rPr>
  </w:style>
  <w:style w:type="character" w:styleId="703">
    <w:name w:val="WW8Num5z0"/>
    <w:next w:val="703"/>
    <w:link w:val="673"/>
    <w:rPr>
      <w:rFonts w:ascii="Symbol" w:hAnsi="Symbol" w:cs="Symbol"/>
    </w:rPr>
  </w:style>
  <w:style w:type="character" w:styleId="704">
    <w:name w:val="WW8Num5z1"/>
    <w:next w:val="704"/>
    <w:link w:val="673"/>
    <w:rPr>
      <w:rFonts w:ascii="Courier New" w:hAnsi="Courier New" w:cs="Courier New"/>
    </w:rPr>
  </w:style>
  <w:style w:type="character" w:styleId="705">
    <w:name w:val="WW8Num5z2"/>
    <w:next w:val="705"/>
    <w:link w:val="673"/>
    <w:rPr>
      <w:rFonts w:ascii="Wingdings" w:hAnsi="Wingdings" w:cs="Wingdings"/>
    </w:rPr>
  </w:style>
  <w:style w:type="character" w:styleId="706">
    <w:name w:val="Основной шрифт абзаца11"/>
    <w:next w:val="706"/>
    <w:link w:val="673"/>
  </w:style>
  <w:style w:type="character" w:styleId="707">
    <w:name w:val="WW8Num6z0"/>
    <w:next w:val="707"/>
    <w:link w:val="673"/>
    <w:rPr>
      <w:rFonts w:ascii="Symbol" w:hAnsi="Symbol" w:cs="Symbol"/>
      <w:sz w:val="20"/>
    </w:rPr>
  </w:style>
  <w:style w:type="character" w:styleId="708">
    <w:name w:val="WW8Num7z0"/>
    <w:next w:val="708"/>
    <w:link w:val="673"/>
    <w:rPr>
      <w:rFonts w:ascii="Symbol" w:hAnsi="Symbol" w:cs="Symbol"/>
      <w:sz w:val="20"/>
    </w:rPr>
  </w:style>
  <w:style w:type="character" w:styleId="709">
    <w:name w:val="WW8Num7z1"/>
    <w:next w:val="709"/>
    <w:link w:val="673"/>
    <w:rPr>
      <w:rFonts w:ascii="Courier New" w:hAnsi="Courier New" w:cs="Times New Roman"/>
      <w:sz w:val="20"/>
    </w:rPr>
  </w:style>
  <w:style w:type="character" w:styleId="710">
    <w:name w:val="WW8Num7z2"/>
    <w:next w:val="710"/>
    <w:link w:val="673"/>
    <w:rPr>
      <w:rFonts w:ascii="Wingdings" w:hAnsi="Wingdings" w:cs="Wingdings"/>
      <w:sz w:val="20"/>
    </w:rPr>
  </w:style>
  <w:style w:type="character" w:styleId="711">
    <w:name w:val="WW8Num8z0"/>
    <w:next w:val="711"/>
    <w:link w:val="673"/>
    <w:rPr>
      <w:rFonts w:ascii="Symbol" w:hAnsi="Symbol" w:cs="Symbol"/>
    </w:rPr>
  </w:style>
  <w:style w:type="character" w:styleId="712">
    <w:name w:val="WW8Num8z1"/>
    <w:next w:val="712"/>
    <w:link w:val="673"/>
    <w:rPr>
      <w:rFonts w:ascii="Courier New" w:hAnsi="Courier New" w:cs="Courier New"/>
    </w:rPr>
  </w:style>
  <w:style w:type="character" w:styleId="713">
    <w:name w:val="WW8Num8z2"/>
    <w:next w:val="713"/>
    <w:link w:val="673"/>
    <w:rPr>
      <w:rFonts w:ascii="Wingdings" w:hAnsi="Wingdings" w:cs="Wingdings"/>
    </w:rPr>
  </w:style>
  <w:style w:type="character" w:styleId="714">
    <w:name w:val="WW8Num9z0"/>
    <w:next w:val="714"/>
    <w:link w:val="673"/>
    <w:rPr>
      <w:rFonts w:ascii="Symbol" w:hAnsi="Symbol" w:cs="Symbol"/>
    </w:rPr>
  </w:style>
  <w:style w:type="character" w:styleId="715">
    <w:name w:val="WW8Num9z1"/>
    <w:next w:val="715"/>
    <w:link w:val="673"/>
    <w:rPr>
      <w:rFonts w:ascii="Courier New" w:hAnsi="Courier New" w:cs="Courier New"/>
    </w:rPr>
  </w:style>
  <w:style w:type="character" w:styleId="716">
    <w:name w:val="WW8Num9z2"/>
    <w:next w:val="716"/>
    <w:link w:val="673"/>
    <w:rPr>
      <w:rFonts w:ascii="Wingdings" w:hAnsi="Wingdings" w:cs="Wingdings"/>
    </w:rPr>
  </w:style>
  <w:style w:type="character" w:styleId="717">
    <w:name w:val="WW8Num10z0"/>
    <w:next w:val="717"/>
    <w:link w:val="673"/>
    <w:rPr>
      <w:rFonts w:ascii="Symbol" w:hAnsi="Symbol" w:cs="Symbol"/>
      <w:sz w:val="20"/>
    </w:rPr>
  </w:style>
  <w:style w:type="character" w:styleId="718">
    <w:name w:val="WW8Num10z1"/>
    <w:next w:val="718"/>
    <w:link w:val="673"/>
    <w:rPr>
      <w:rFonts w:ascii="Courier New" w:hAnsi="Courier New" w:cs="Times New Roman"/>
      <w:sz w:val="20"/>
    </w:rPr>
  </w:style>
  <w:style w:type="character" w:styleId="719">
    <w:name w:val="WW8Num10z2"/>
    <w:next w:val="719"/>
    <w:link w:val="673"/>
    <w:rPr>
      <w:rFonts w:ascii="Wingdings" w:hAnsi="Wingdings" w:cs="Wingdings"/>
      <w:sz w:val="20"/>
    </w:rPr>
  </w:style>
  <w:style w:type="character" w:styleId="720">
    <w:name w:val="WW8Num11z0"/>
    <w:next w:val="720"/>
    <w:link w:val="673"/>
    <w:rPr>
      <w:rFonts w:ascii="Symbol" w:hAnsi="Symbol" w:cs="Symbol"/>
    </w:rPr>
  </w:style>
  <w:style w:type="character" w:styleId="721">
    <w:name w:val="WW8Num11z1"/>
    <w:next w:val="721"/>
    <w:link w:val="673"/>
    <w:rPr>
      <w:rFonts w:ascii="Courier New" w:hAnsi="Courier New" w:cs="Courier New"/>
    </w:rPr>
  </w:style>
  <w:style w:type="character" w:styleId="722">
    <w:name w:val="WW8Num11z2"/>
    <w:next w:val="722"/>
    <w:link w:val="673"/>
    <w:rPr>
      <w:rFonts w:ascii="Wingdings" w:hAnsi="Wingdings" w:cs="Wingdings"/>
    </w:rPr>
  </w:style>
  <w:style w:type="character" w:styleId="723">
    <w:name w:val="WW8Num12z0"/>
    <w:next w:val="723"/>
    <w:link w:val="673"/>
    <w:rPr>
      <w:rFonts w:ascii="Symbol" w:hAnsi="Symbol" w:cs="Symbol"/>
      <w:sz w:val="20"/>
    </w:rPr>
  </w:style>
  <w:style w:type="character" w:styleId="724">
    <w:name w:val="WW8Num12z1"/>
    <w:next w:val="724"/>
    <w:link w:val="673"/>
    <w:rPr>
      <w:rFonts w:ascii="Courier New" w:hAnsi="Courier New" w:cs="Times New Roman"/>
      <w:sz w:val="20"/>
    </w:rPr>
  </w:style>
  <w:style w:type="character" w:styleId="725">
    <w:name w:val="WW8Num12z2"/>
    <w:next w:val="725"/>
    <w:link w:val="673"/>
    <w:rPr>
      <w:rFonts w:ascii="Wingdings" w:hAnsi="Wingdings" w:cs="Wingdings"/>
      <w:sz w:val="20"/>
    </w:rPr>
  </w:style>
  <w:style w:type="character" w:styleId="726">
    <w:name w:val="WW8Num13z0"/>
    <w:next w:val="726"/>
    <w:link w:val="673"/>
  </w:style>
  <w:style w:type="character" w:styleId="727">
    <w:name w:val="Основной шрифт абзаца10"/>
    <w:next w:val="727"/>
    <w:link w:val="673"/>
  </w:style>
  <w:style w:type="character" w:styleId="728">
    <w:name w:val="Основной шрифт абзаца9"/>
    <w:next w:val="728"/>
    <w:link w:val="673"/>
  </w:style>
  <w:style w:type="character" w:styleId="729">
    <w:name w:val="Основной шрифт абзаца8"/>
    <w:next w:val="729"/>
    <w:link w:val="673"/>
  </w:style>
  <w:style w:type="character" w:styleId="730">
    <w:name w:val="Основной шрифт абзаца7"/>
    <w:next w:val="730"/>
    <w:link w:val="673"/>
  </w:style>
  <w:style w:type="character" w:styleId="731">
    <w:name w:val="Основной шрифт абзаца6"/>
    <w:next w:val="731"/>
    <w:link w:val="673"/>
  </w:style>
  <w:style w:type="character" w:styleId="732">
    <w:name w:val="Основной шрифт абзаца5"/>
    <w:next w:val="732"/>
    <w:link w:val="673"/>
  </w:style>
  <w:style w:type="character" w:styleId="733">
    <w:name w:val="Основной шрифт абзаца4"/>
    <w:next w:val="733"/>
    <w:link w:val="673"/>
  </w:style>
  <w:style w:type="character" w:styleId="734">
    <w:name w:val="Основной шрифт абзаца3"/>
    <w:next w:val="734"/>
    <w:link w:val="673"/>
  </w:style>
  <w:style w:type="character" w:styleId="735">
    <w:name w:val="Основной шрифт абзаца2"/>
    <w:next w:val="735"/>
    <w:link w:val="673"/>
  </w:style>
  <w:style w:type="character" w:styleId="736">
    <w:name w:val="Основной шрифт абзаца1"/>
    <w:next w:val="736"/>
    <w:link w:val="673"/>
  </w:style>
  <w:style w:type="character" w:styleId="737">
    <w:name w:val="Гиперссылка"/>
    <w:next w:val="737"/>
    <w:link w:val="673"/>
    <w:uiPriority w:val="99"/>
    <w:rPr>
      <w:u w:val="single"/>
    </w:rPr>
  </w:style>
  <w:style w:type="character" w:styleId="738">
    <w:name w:val="Нет"/>
    <w:next w:val="738"/>
    <w:link w:val="673"/>
  </w:style>
  <w:style w:type="character" w:styleId="739">
    <w:name w:val="Выделение"/>
    <w:next w:val="739"/>
    <w:link w:val="673"/>
    <w:uiPriority w:val="20"/>
    <w:qFormat/>
    <w:rPr>
      <w:i/>
      <w:iCs/>
    </w:rPr>
  </w:style>
  <w:style w:type="character" w:styleId="740">
    <w:name w:val="Основной текст (2)_"/>
    <w:next w:val="740"/>
    <w:link w:val="67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741">
    <w:name w:val="Строгий"/>
    <w:next w:val="741"/>
    <w:link w:val="673"/>
    <w:uiPriority w:val="22"/>
    <w:qFormat/>
    <w:rPr>
      <w:b/>
      <w:bCs/>
    </w:rPr>
  </w:style>
  <w:style w:type="character" w:styleId="742">
    <w:name w:val="Знак примечания1"/>
    <w:next w:val="742"/>
    <w:link w:val="673"/>
    <w:rPr>
      <w:sz w:val="16"/>
      <w:szCs w:val="16"/>
    </w:rPr>
  </w:style>
  <w:style w:type="character" w:styleId="743">
    <w:name w:val="Текст примечания Знак"/>
    <w:next w:val="743"/>
    <w:link w:val="673"/>
    <w:rPr>
      <w:rFonts w:eastAsia="Arial Unicode MS" w:cs="Arial Unicode MS"/>
      <w:color w:val="000000"/>
      <w:lang w:eastAsia="zh-CN"/>
    </w:rPr>
  </w:style>
  <w:style w:type="character" w:styleId="744">
    <w:name w:val="Тема примечания Знак"/>
    <w:next w:val="744"/>
    <w:link w:val="673"/>
    <w:rPr>
      <w:rFonts w:eastAsia="Arial Unicode MS" w:cs="Arial Unicode MS"/>
      <w:b/>
      <w:bCs/>
      <w:color w:val="000000"/>
      <w:lang w:eastAsia="zh-CN"/>
    </w:rPr>
  </w:style>
  <w:style w:type="character" w:styleId="745">
    <w:name w:val="Текст выноски Знак"/>
    <w:next w:val="745"/>
    <w:link w:val="673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746">
    <w:name w:val="Знак примечания2"/>
    <w:next w:val="746"/>
    <w:link w:val="673"/>
    <w:rPr>
      <w:sz w:val="16"/>
      <w:szCs w:val="16"/>
    </w:rPr>
  </w:style>
  <w:style w:type="character" w:styleId="747">
    <w:name w:val="Текст примечания Знак1"/>
    <w:next w:val="747"/>
    <w:link w:val="673"/>
    <w:rPr>
      <w:rFonts w:eastAsia="Arial Unicode MS" w:cs="Arial Unicode MS"/>
      <w:color w:val="000000"/>
      <w:lang w:eastAsia="zh-CN"/>
    </w:rPr>
  </w:style>
  <w:style w:type="character" w:styleId="748">
    <w:name w:val="article_layer__header_date_published"/>
    <w:next w:val="748"/>
    <w:link w:val="673"/>
  </w:style>
  <w:style w:type="character" w:styleId="749">
    <w:name w:val="article_layer__stat_btn"/>
    <w:next w:val="749"/>
    <w:link w:val="673"/>
  </w:style>
  <w:style w:type="character" w:styleId="750">
    <w:name w:val="Основной текст (5)"/>
    <w:next w:val="750"/>
    <w:link w:val="673"/>
    <w:rPr>
      <w:rFonts w:ascii="Times New Roman" w:hAnsi="Times New Roman" w:cs="Times New Roman"/>
      <w:spacing w:val="0"/>
      <w:sz w:val="27"/>
      <w:szCs w:val="27"/>
    </w:rPr>
  </w:style>
  <w:style w:type="character" w:styleId="751">
    <w:name w:val="Текст концевой сноски Знак"/>
    <w:next w:val="751"/>
    <w:link w:val="673"/>
    <w:rPr>
      <w:rFonts w:eastAsia="Arial Unicode MS" w:cs="Arial Unicode MS"/>
      <w:color w:val="000000"/>
      <w:lang w:eastAsia="zh-CN"/>
    </w:rPr>
  </w:style>
  <w:style w:type="character" w:styleId="752">
    <w:name w:val="Символ концевой сноски"/>
    <w:next w:val="752"/>
    <w:link w:val="673"/>
    <w:rPr>
      <w:vertAlign w:val="superscript"/>
    </w:rPr>
  </w:style>
  <w:style w:type="paragraph" w:styleId="753">
    <w:name w:val="Заголовок1"/>
    <w:basedOn w:val="673"/>
    <w:next w:val="754"/>
    <w:link w:val="673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754">
    <w:name w:val="Основной текст"/>
    <w:basedOn w:val="673"/>
    <w:next w:val="754"/>
    <w:link w:val="673"/>
    <w:pPr>
      <w:spacing w:before="0" w:after="140" w:line="276" w:lineRule="auto"/>
    </w:pPr>
  </w:style>
  <w:style w:type="paragraph" w:styleId="755">
    <w:name w:val="Список"/>
    <w:basedOn w:val="754"/>
    <w:next w:val="755"/>
    <w:link w:val="673"/>
    <w:rPr>
      <w:rFonts w:ascii="PT Sans" w:hAnsi="PT Sans" w:cs="Noto Sans Devanagari"/>
    </w:rPr>
  </w:style>
  <w:style w:type="paragraph" w:styleId="756">
    <w:name w:val="Название объекта"/>
    <w:basedOn w:val="673"/>
    <w:next w:val="756"/>
    <w:link w:val="67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57">
    <w:name w:val="Указатель13"/>
    <w:basedOn w:val="673"/>
    <w:next w:val="757"/>
    <w:link w:val="673"/>
    <w:pPr>
      <w:suppressLineNumbers/>
    </w:pPr>
    <w:rPr>
      <w:rFonts w:cs="Mangal"/>
      <w:lang w:val="en-US" w:eastAsia="en-US" w:bidi="en-US"/>
    </w:rPr>
  </w:style>
  <w:style w:type="paragraph" w:styleId="758">
    <w:name w:val="Название объекта12"/>
    <w:basedOn w:val="673"/>
    <w:next w:val="758"/>
    <w:link w:val="673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59">
    <w:name w:val="Указатель12"/>
    <w:basedOn w:val="673"/>
    <w:next w:val="759"/>
    <w:link w:val="673"/>
    <w:pPr>
      <w:suppressLineNumbers/>
    </w:pPr>
    <w:rPr>
      <w:rFonts w:ascii="PT Sans" w:hAnsi="PT Sans" w:cs="Noto Sans Devanagari"/>
    </w:rPr>
  </w:style>
  <w:style w:type="paragraph" w:styleId="760">
    <w:name w:val="Название объекта11"/>
    <w:basedOn w:val="673"/>
    <w:next w:val="760"/>
    <w:link w:val="67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61">
    <w:name w:val="Указатель11"/>
    <w:basedOn w:val="673"/>
    <w:next w:val="761"/>
    <w:link w:val="673"/>
    <w:pPr>
      <w:suppressLineNumbers/>
    </w:pPr>
    <w:rPr>
      <w:rFonts w:ascii="PT Astra Serif" w:hAnsi="PT Astra Serif" w:cs="Noto Sans Devanagari"/>
    </w:rPr>
  </w:style>
  <w:style w:type="paragraph" w:styleId="762">
    <w:name w:val="Название объекта10"/>
    <w:basedOn w:val="673"/>
    <w:next w:val="762"/>
    <w:link w:val="67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3">
    <w:name w:val="Указатель10"/>
    <w:basedOn w:val="673"/>
    <w:next w:val="763"/>
    <w:link w:val="673"/>
    <w:pPr>
      <w:suppressLineNumbers/>
    </w:pPr>
    <w:rPr>
      <w:rFonts w:cs="Arial"/>
    </w:rPr>
  </w:style>
  <w:style w:type="paragraph" w:styleId="764">
    <w:name w:val="Название объекта9"/>
    <w:basedOn w:val="673"/>
    <w:next w:val="764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65">
    <w:name w:val="Указатель9"/>
    <w:basedOn w:val="673"/>
    <w:next w:val="765"/>
    <w:link w:val="673"/>
    <w:pPr>
      <w:suppressLineNumbers/>
    </w:pPr>
    <w:rPr>
      <w:rFonts w:cs="Lucida Sans"/>
    </w:rPr>
  </w:style>
  <w:style w:type="paragraph" w:styleId="766">
    <w:name w:val="Название объекта8"/>
    <w:basedOn w:val="673"/>
    <w:next w:val="766"/>
    <w:link w:val="67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7">
    <w:name w:val="Указатель8"/>
    <w:basedOn w:val="673"/>
    <w:next w:val="767"/>
    <w:link w:val="673"/>
    <w:pPr>
      <w:suppressLineNumbers/>
    </w:pPr>
    <w:rPr>
      <w:rFonts w:cs="Arial"/>
    </w:rPr>
  </w:style>
  <w:style w:type="paragraph" w:styleId="768">
    <w:name w:val="Название объекта7"/>
    <w:basedOn w:val="673"/>
    <w:next w:val="768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69">
    <w:name w:val="Указатель7"/>
    <w:basedOn w:val="673"/>
    <w:next w:val="769"/>
    <w:link w:val="673"/>
    <w:pPr>
      <w:suppressLineNumbers/>
    </w:pPr>
    <w:rPr>
      <w:rFonts w:cs="Lucida Sans"/>
    </w:rPr>
  </w:style>
  <w:style w:type="paragraph" w:styleId="770">
    <w:name w:val="Название объекта6"/>
    <w:basedOn w:val="673"/>
    <w:next w:val="770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1">
    <w:name w:val="Указатель6"/>
    <w:basedOn w:val="673"/>
    <w:next w:val="771"/>
    <w:link w:val="673"/>
    <w:pPr>
      <w:suppressLineNumbers/>
    </w:pPr>
    <w:rPr>
      <w:rFonts w:cs="Lucida Sans"/>
    </w:rPr>
  </w:style>
  <w:style w:type="paragraph" w:styleId="772">
    <w:name w:val="Название объекта5"/>
    <w:basedOn w:val="673"/>
    <w:next w:val="772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3">
    <w:name w:val="Указатель5"/>
    <w:basedOn w:val="673"/>
    <w:next w:val="773"/>
    <w:link w:val="673"/>
    <w:pPr>
      <w:suppressLineNumbers/>
    </w:pPr>
    <w:rPr>
      <w:rFonts w:cs="Lucida Sans"/>
    </w:rPr>
  </w:style>
  <w:style w:type="paragraph" w:styleId="774">
    <w:name w:val="Название объекта4"/>
    <w:basedOn w:val="673"/>
    <w:next w:val="774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5">
    <w:name w:val="Указатель4"/>
    <w:basedOn w:val="673"/>
    <w:next w:val="775"/>
    <w:link w:val="673"/>
    <w:pPr>
      <w:suppressLineNumbers/>
    </w:pPr>
    <w:rPr>
      <w:rFonts w:cs="Lucida Sans"/>
    </w:rPr>
  </w:style>
  <w:style w:type="paragraph" w:styleId="776">
    <w:name w:val="Название объекта3"/>
    <w:basedOn w:val="673"/>
    <w:next w:val="776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7">
    <w:name w:val="Указатель3"/>
    <w:basedOn w:val="673"/>
    <w:next w:val="777"/>
    <w:link w:val="673"/>
    <w:pPr>
      <w:suppressLineNumbers/>
    </w:pPr>
    <w:rPr>
      <w:rFonts w:cs="Lucida Sans"/>
    </w:rPr>
  </w:style>
  <w:style w:type="paragraph" w:styleId="778">
    <w:name w:val="Название объекта2"/>
    <w:basedOn w:val="673"/>
    <w:next w:val="778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9">
    <w:name w:val="Указатель2"/>
    <w:basedOn w:val="673"/>
    <w:next w:val="779"/>
    <w:link w:val="673"/>
    <w:pPr>
      <w:suppressLineNumbers/>
    </w:pPr>
    <w:rPr>
      <w:rFonts w:cs="Lucida Sans"/>
    </w:rPr>
  </w:style>
  <w:style w:type="paragraph" w:styleId="780">
    <w:name w:val="Название объекта1"/>
    <w:basedOn w:val="673"/>
    <w:next w:val="780"/>
    <w:link w:val="673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81">
    <w:name w:val="Указатель1"/>
    <w:basedOn w:val="673"/>
    <w:next w:val="781"/>
    <w:link w:val="673"/>
    <w:pPr>
      <w:suppressLineNumbers/>
    </w:pPr>
    <w:rPr>
      <w:rFonts w:ascii="PT Sans" w:hAnsi="PT Sans" w:cs="Noto Sans Devanagari"/>
    </w:rPr>
  </w:style>
  <w:style w:type="paragraph" w:styleId="782">
    <w:name w:val="Верхн./нижн. кол."/>
    <w:next w:val="782"/>
    <w:link w:val="673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783">
    <w:name w:val="Body Text"/>
    <w:next w:val="783"/>
    <w:link w:val="673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784">
    <w:name w:val="Обычный (веб)1"/>
    <w:next w:val="784"/>
    <w:link w:val="673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85">
    <w:name w:val="Верхний и нижний колонтитулы"/>
    <w:basedOn w:val="673"/>
    <w:next w:val="785"/>
    <w:link w:val="673"/>
    <w:pPr>
      <w:tabs>
        <w:tab w:val="center" w:pos="4819" w:leader="none"/>
        <w:tab w:val="right" w:pos="9638" w:leader="none"/>
      </w:tabs>
      <w:suppressLineNumbers/>
    </w:pPr>
  </w:style>
  <w:style w:type="paragraph" w:styleId="786">
    <w:name w:val="Колонтитул"/>
    <w:basedOn w:val="673"/>
    <w:next w:val="786"/>
    <w:link w:val="673"/>
    <w:pPr>
      <w:tabs>
        <w:tab w:val="center" w:pos="4819" w:leader="none"/>
        <w:tab w:val="right" w:pos="9638" w:leader="none"/>
      </w:tabs>
      <w:suppressLineNumbers/>
    </w:pPr>
  </w:style>
  <w:style w:type="paragraph" w:styleId="787">
    <w:name w:val="Нижний колонтитул"/>
    <w:basedOn w:val="785"/>
    <w:next w:val="787"/>
    <w:link w:val="673"/>
    <w:pPr>
      <w:suppressLineNumbers/>
    </w:pPr>
  </w:style>
  <w:style w:type="paragraph" w:styleId="788">
    <w:name w:val="Верхний колонтитул"/>
    <w:basedOn w:val="785"/>
    <w:next w:val="788"/>
    <w:link w:val="673"/>
    <w:pPr>
      <w:suppressLineNumbers/>
    </w:pPr>
  </w:style>
  <w:style w:type="paragraph" w:styleId="789">
    <w:name w:val="Абзац списка"/>
    <w:basedOn w:val="673"/>
    <w:next w:val="789"/>
    <w:link w:val="673"/>
    <w:qFormat/>
    <w:pPr>
      <w:contextualSpacing/>
      <w:ind w:left="720" w:right="0" w:firstLine="0"/>
      <w:spacing w:before="0" w:after="160" w:line="252" w:lineRule="auto"/>
    </w:pPr>
    <w:rPr>
      <w:rFonts w:ascii="Calibri" w:hAnsi="Calibri" w:eastAsia="Calibri" w:cs="Times New Roman"/>
      <w:color w:val="000000"/>
      <w:sz w:val="22"/>
      <w:szCs w:val="22"/>
    </w:rPr>
  </w:style>
  <w:style w:type="paragraph" w:styleId="790">
    <w:name w:val="western"/>
    <w:basedOn w:val="673"/>
    <w:next w:val="790"/>
    <w:link w:val="673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791">
    <w:name w:val="Текст примечания1"/>
    <w:basedOn w:val="673"/>
    <w:next w:val="791"/>
    <w:link w:val="673"/>
    <w:rPr>
      <w:rFonts w:cs="Times New Roman"/>
      <w:sz w:val="20"/>
      <w:szCs w:val="20"/>
      <w:lang w:val="en-US"/>
    </w:rPr>
  </w:style>
  <w:style w:type="paragraph" w:styleId="792">
    <w:name w:val="Тема примечания"/>
    <w:basedOn w:val="791"/>
    <w:next w:val="791"/>
    <w:link w:val="673"/>
    <w:rPr>
      <w:b/>
      <w:bCs/>
    </w:rPr>
  </w:style>
  <w:style w:type="paragraph" w:styleId="793">
    <w:name w:val="Текст выноски"/>
    <w:basedOn w:val="673"/>
    <w:next w:val="793"/>
    <w:link w:val="673"/>
    <w:rPr>
      <w:rFonts w:ascii="Segoe UI" w:hAnsi="Segoe UI" w:cs="Times New Roman"/>
      <w:sz w:val="18"/>
      <w:szCs w:val="18"/>
      <w:lang w:val="en-US"/>
    </w:rPr>
  </w:style>
  <w:style w:type="paragraph" w:styleId="794">
    <w:name w:val="Без интервала1"/>
    <w:next w:val="794"/>
    <w:link w:val="673"/>
    <w:rPr>
      <w:rFonts w:ascii="Calibri" w:hAnsi="Calibri" w:cs="Calibri"/>
      <w:sz w:val="22"/>
      <w:szCs w:val="22"/>
      <w:lang w:val="ru-RU" w:eastAsia="zh-CN" w:bidi="ar-SA"/>
    </w:rPr>
  </w:style>
  <w:style w:type="paragraph" w:styleId="795">
    <w:name w:val="ConsPlusNormal"/>
    <w:next w:val="795"/>
    <w:link w:val="673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796">
    <w:name w:val="Default"/>
    <w:next w:val="796"/>
    <w:link w:val="673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797">
    <w:name w:val="Standard"/>
    <w:next w:val="797"/>
    <w:link w:val="673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798">
    <w:name w:val="Text body"/>
    <w:basedOn w:val="797"/>
    <w:next w:val="798"/>
    <w:link w:val="673"/>
    <w:pPr>
      <w:jc w:val="both"/>
      <w:spacing w:before="0" w:after="0" w:line="240" w:lineRule="auto"/>
      <w:widowControl w:val="off"/>
    </w:pPr>
    <w:rPr>
      <w:rFonts w:ascii="PT Astra Serif" w:hAnsi="PT Astra Serif" w:eastAsia="Source Han Sans CN Regular" w:cs="PT Astra Serif"/>
      <w:sz w:val="28"/>
      <w:szCs w:val="24"/>
    </w:rPr>
  </w:style>
  <w:style w:type="paragraph" w:styleId="799">
    <w:name w:val="Обычный (веб)"/>
    <w:basedOn w:val="673"/>
    <w:next w:val="799"/>
    <w:link w:val="673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800">
    <w:name w:val="Текст примечания2"/>
    <w:basedOn w:val="673"/>
    <w:next w:val="800"/>
    <w:link w:val="673"/>
    <w:rPr>
      <w:rFonts w:cs="Times New Roman"/>
      <w:sz w:val="20"/>
      <w:szCs w:val="20"/>
      <w:lang w:val="en-US"/>
    </w:rPr>
  </w:style>
  <w:style w:type="paragraph" w:styleId="801">
    <w:name w:val="Содержимое таблицы"/>
    <w:basedOn w:val="673"/>
    <w:next w:val="801"/>
    <w:link w:val="673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802">
    <w:name w:val="Текст концевой сноски"/>
    <w:basedOn w:val="673"/>
    <w:next w:val="802"/>
    <w:link w:val="673"/>
    <w:rPr>
      <w:rFonts w:cs="Times New Roman"/>
      <w:sz w:val="20"/>
      <w:szCs w:val="20"/>
      <w:lang w:val="en-US"/>
    </w:rPr>
  </w:style>
  <w:style w:type="paragraph" w:styleId="803">
    <w:name w:val="Основной текст с отступом 31"/>
    <w:basedOn w:val="673"/>
    <w:next w:val="803"/>
    <w:link w:val="673"/>
    <w:pPr>
      <w:ind w:left="283" w:right="0" w:firstLine="0"/>
      <w:spacing w:before="0" w:after="120"/>
    </w:pPr>
    <w:rPr>
      <w:rFonts w:eastAsia="Times New Roman" w:cs="Times New Roman"/>
      <w:color w:val="000000"/>
      <w:sz w:val="16"/>
      <w:szCs w:val="16"/>
    </w:rPr>
  </w:style>
  <w:style w:type="paragraph" w:styleId="804">
    <w:name w:val="no-indent"/>
    <w:basedOn w:val="673"/>
    <w:next w:val="804"/>
    <w:link w:val="673"/>
    <w:pPr>
      <w:spacing w:before="100" w:beforeAutospacing="1" w:after="100" w:afterAutospacing="1"/>
    </w:pPr>
  </w:style>
  <w:style w:type="character" w:styleId="1014" w:default="1">
    <w:name w:val="Default Paragraph Font"/>
    <w:uiPriority w:val="1"/>
    <w:semiHidden/>
    <w:unhideWhenUsed/>
  </w:style>
  <w:style w:type="numbering" w:styleId="1015" w:default="1">
    <w:name w:val="No List"/>
    <w:uiPriority w:val="99"/>
    <w:semiHidden/>
    <w:unhideWhenUsed/>
  </w:style>
  <w:style w:type="table" w:styleId="10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revision>102</cp:revision>
  <dcterms:created xsi:type="dcterms:W3CDTF">2024-08-16T10:03:00Z</dcterms:created>
  <dcterms:modified xsi:type="dcterms:W3CDTF">2025-03-18T09:24:02Z</dcterms:modified>
  <cp:version>983040</cp:version>
</cp:coreProperties>
</file>